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293</w:t>
      </w:r>
    </w:p>
    <w:p>
      <w:r>
        <w:t>Bundesgericht (BGE), 2000-01-01, FR</w:t>
      </w:r>
    </w:p>
    <w:p>
      <w:r>
        <w:rPr>
          <w:b/>
        </w:rPr>
        <w:t xml:space="preserve">Quelle: </w:t>
      </w:r>
      <w:r>
        <w:t>https://mcp.opencaselaw.ch/entscheid/bge_126 III 293</w:t>
      </w:r>
    </w:p>
    <w:p>
      <w:r>
        <w:t>FR: ATF 126 III 293</w:t>
      </w:r>
    </w:p>
    <w:p>
      <w:r>
        <w:t>IT: DTF 126 III 293</w:t>
      </w:r>
    </w:p>
    <w:p>
      <w:pPr>
        <w:pStyle w:val="Heading2"/>
      </w:pPr>
      <w:r>
        <w:t>Regeste</w:t>
      </w:r>
    </w:p>
    <w:p>
      <w:r>
        <w:t>Regeste Frist der Arrestprosequierung (Art. 279 Abs. 1 SchKG). Der Gläubiger muss, auf die Gefahr hin, dass der Arrest dahinfällt, diesen innert zehn Tagen vom Moment an, da er die Arresturkunde erhalten hat, prosequieren; ob der Schuldner diese Urkunde ebenfalls erhalten hat, ist nicht massgeblich.</w:t>
      </w:r>
    </w:p>
    <w:p>
      <w:pPr>
        <w:pStyle w:val="Heading2"/>
      </w:pPr>
      <w:r>
        <w:t>Erwägungen</w:t>
      </w:r>
    </w:p>
    <w:p>
      <w:r>
        <w:rPr>
          <w:b/>
        </w:rPr>
        <w:t>E. 1</w:t>
      </w:r>
    </w:p>
    <w:p>
      <w:r>
        <w:t>Selon les termes clairs de l'art. 279 al. 1 LP, le créancier séquestrant doit valider le séquestre, par une poursuite ou par une action, dans les dix jours à compter de la réception du procès-verbal. Si le créancier laisse écouler ce délai, les effets du séquestre cessent de plein droit (art. 280 ch. 1 LP; cf. BERTRAND REEB, Les mesures provisoires dans la procédure de poursuite, in: RDS 116/1997 II p. 485 s.). L'opposition à l'ordonnance de séquestre selon l'art. 278 LP et la validation du séquestre selon l'art. 279 LP sont soumis au même délai de dix jours. Bien souvent, toutefois, ce délai n'arrive pas à échéance en même temps pour les deux moyens parce que son point de départ est différent dans l'un et l'autre cas (la connaissance du séquestre dans le premier cas, la réception du procès-verbal dans le second). Le créancier séquestrant, qui ne peut s'assurer au préalable que le débiteur a ou non formé opposition, doit donc, par précaution, entreprendre une première démarche de validation dans ledit délai s'il ne veut pas que le séquestre devienne caduc en vertu de l'art. 280 LP (cf. WALTER A. STOFFEL, Das neue Arrestrecht, in: PJA 1996, p. 1411 ch. 3 in fine; VINCENT JEANNERET, Aperçu de la validité du séquestre, sous l'angle de la nouvelle LPDF, in: Le séquestre selon la nouvelle LP, Publications du Centre d'études juridiques européennes, Genève, 1997, p. 95; JAEGER/WALDER/KULL/KOTTMANN, BGE 126 III 293 S. 294 SchKG, 4e éd. 1997/99, n. 32 ad art. 278; HANS REISER, in: Kommentar zum Bundesgesetz über Schuldbetreibung und Konkurs, n. 2 ad art. 279; AMONN/GASSER, Grundriss des Schuldbetreibungs- und Konkursrechts, 6e éd., Berne 1997, § 51 n. 89). En l'espèce, le procès-verbal de séquestre a été notifié à la recourante le 18 novembre 1999. Celle-ci devait donc valider le séquestre dans les dix jours dès cette date, que le débiteur ait ou non été informé de la procédure de séquestre. Il est constant que la recourante n'a pas entrepris de démarche en vue d'une validation dans le délai légal. Les effets du séquestre ont donc cessé de plein droit (art. 280 LP), ce qui suffit en soi à sceller le sort du présent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